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D2" w:rsidRDefault="00C72F26" w:rsidP="008F79D2">
      <w:pPr>
        <w:spacing w:after="0" w:line="240" w:lineRule="auto"/>
        <w:jc w:val="center"/>
        <w:rPr>
          <w:rFonts w:ascii="Arial Narrow" w:hAnsi="Arial Narrow" w:cs="Times New Roman"/>
          <w:b/>
        </w:rPr>
      </w:pPr>
      <w:bookmarkStart w:id="0" w:name="_GoBack"/>
      <w:bookmarkEnd w:id="0"/>
      <w:r w:rsidRPr="00672666">
        <w:rPr>
          <w:rFonts w:ascii="Arial Narrow" w:hAnsi="Arial Narrow" w:cs="Times New Roman"/>
          <w:b/>
        </w:rPr>
        <w:t>Community Advisory Board on Homelessness</w:t>
      </w:r>
      <w:r w:rsidR="00177BF3" w:rsidRPr="00672666">
        <w:rPr>
          <w:rFonts w:ascii="Arial Narrow" w:hAnsi="Arial Narrow" w:cs="Times New Roman"/>
          <w:b/>
        </w:rPr>
        <w:t xml:space="preserve"> (CAB-H)</w:t>
      </w:r>
      <w:r w:rsidR="00CD30ED" w:rsidRPr="00672666">
        <w:rPr>
          <w:rFonts w:ascii="Arial Narrow" w:hAnsi="Arial Narrow" w:cs="Times New Roman"/>
          <w:b/>
        </w:rPr>
        <w:t xml:space="preserve"> - </w:t>
      </w:r>
      <w:r w:rsidR="003A5673" w:rsidRPr="00672666">
        <w:rPr>
          <w:rFonts w:ascii="Arial Narrow" w:hAnsi="Arial Narrow" w:cs="Times New Roman"/>
          <w:b/>
        </w:rPr>
        <w:t xml:space="preserve">Housing </w:t>
      </w:r>
      <w:r w:rsidR="009C2085" w:rsidRPr="00672666">
        <w:rPr>
          <w:rFonts w:ascii="Arial Narrow" w:hAnsi="Arial Narrow" w:cs="Times New Roman"/>
          <w:b/>
        </w:rPr>
        <w:t>and Shelter S</w:t>
      </w:r>
      <w:r w:rsidR="003A5673" w:rsidRPr="00672666">
        <w:rPr>
          <w:rFonts w:ascii="Arial Narrow" w:hAnsi="Arial Narrow" w:cs="Times New Roman"/>
          <w:b/>
        </w:rPr>
        <w:t>napshot</w:t>
      </w:r>
    </w:p>
    <w:p w:rsidR="008F79D2" w:rsidRPr="00BE4F64" w:rsidRDefault="008F79D2" w:rsidP="008F79D2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tbl>
      <w:tblPr>
        <w:tblStyle w:val="TableGrid"/>
        <w:tblW w:w="19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570"/>
        <w:gridCol w:w="1530"/>
        <w:gridCol w:w="1620"/>
        <w:gridCol w:w="1530"/>
        <w:gridCol w:w="1620"/>
        <w:gridCol w:w="1530"/>
        <w:gridCol w:w="4680"/>
      </w:tblGrid>
      <w:tr w:rsidR="00765411" w:rsidRPr="00672666" w:rsidTr="008F79D2">
        <w:trPr>
          <w:trHeight w:val="557"/>
        </w:trPr>
        <w:tc>
          <w:tcPr>
            <w:tcW w:w="6570" w:type="dxa"/>
          </w:tcPr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ORGANIZATION</w:t>
            </w:r>
          </w:p>
        </w:tc>
        <w:tc>
          <w:tcPr>
            <w:tcW w:w="1530" w:type="dxa"/>
          </w:tcPr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Beds Total #</w:t>
            </w:r>
          </w:p>
        </w:tc>
        <w:tc>
          <w:tcPr>
            <w:tcW w:w="1620" w:type="dxa"/>
          </w:tcPr>
          <w:p w:rsidR="00765411" w:rsidRPr="00672666" w:rsidRDefault="00765411" w:rsidP="00856C01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Beds Men #</w:t>
            </w:r>
          </w:p>
        </w:tc>
        <w:tc>
          <w:tcPr>
            <w:tcW w:w="1530" w:type="dxa"/>
          </w:tcPr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Beds</w:t>
            </w:r>
          </w:p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Women #</w:t>
            </w:r>
          </w:p>
        </w:tc>
        <w:tc>
          <w:tcPr>
            <w:tcW w:w="1620" w:type="dxa"/>
          </w:tcPr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Beds Children</w:t>
            </w:r>
          </w:p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&amp; Youth #</w:t>
            </w:r>
          </w:p>
        </w:tc>
        <w:tc>
          <w:tcPr>
            <w:tcW w:w="1530" w:type="dxa"/>
          </w:tcPr>
          <w:p w:rsidR="00765411" w:rsidRPr="00672666" w:rsidRDefault="00765411" w:rsidP="008F79D2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Maximum Length of Stay</w:t>
            </w:r>
          </w:p>
        </w:tc>
        <w:tc>
          <w:tcPr>
            <w:tcW w:w="4680" w:type="dxa"/>
          </w:tcPr>
          <w:p w:rsidR="00856C01" w:rsidRDefault="00BE4F64" w:rsidP="00856C0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Average </w:t>
            </w:r>
            <w:r w:rsidR="00765411" w:rsidRPr="00672666">
              <w:rPr>
                <w:rFonts w:ascii="Arial Narrow" w:hAnsi="Arial Narrow" w:cs="Times New Roman"/>
                <w:b/>
              </w:rPr>
              <w:t>Annual % Occupancy</w:t>
            </w:r>
            <w:r w:rsidR="00856C01">
              <w:rPr>
                <w:rFonts w:ascii="Arial Narrow" w:hAnsi="Arial Narrow" w:cs="Times New Roman"/>
                <w:b/>
              </w:rPr>
              <w:t xml:space="preserve"> </w:t>
            </w:r>
            <w:r w:rsidR="00765411" w:rsidRPr="00672666">
              <w:rPr>
                <w:rFonts w:ascii="Arial Narrow" w:hAnsi="Arial Narrow" w:cs="Times New Roman"/>
                <w:b/>
              </w:rPr>
              <w:t>Rate</w:t>
            </w:r>
            <w:r w:rsidR="00856C01">
              <w:rPr>
                <w:rFonts w:ascii="Arial Narrow" w:hAnsi="Arial Narrow" w:cs="Times New Roman"/>
                <w:b/>
              </w:rPr>
              <w:t xml:space="preserve">: </w:t>
            </w:r>
          </w:p>
          <w:p w:rsidR="00765411" w:rsidRPr="00672666" w:rsidRDefault="00856C0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October 1, 2014- October 1, 2015</w:t>
            </w:r>
          </w:p>
        </w:tc>
      </w:tr>
      <w:tr w:rsidR="00765411" w:rsidRPr="00672666" w:rsidTr="008F79D2">
        <w:trPr>
          <w:trHeight w:val="242"/>
        </w:trPr>
        <w:tc>
          <w:tcPr>
            <w:tcW w:w="657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>SHELTER SERVICES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</w:p>
        </w:tc>
        <w:tc>
          <w:tcPr>
            <w:tcW w:w="468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</w:p>
        </w:tc>
      </w:tr>
      <w:tr w:rsidR="00765411" w:rsidRPr="00672666" w:rsidTr="008F79D2">
        <w:trPr>
          <w:trHeight w:val="342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Inn From the Cold – Emergency Winter Shelter</w:t>
            </w:r>
            <w:r w:rsidR="0096780D">
              <w:rPr>
                <w:rFonts w:ascii="Arial Narrow" w:hAnsi="Arial Narrow" w:cs="Times New Roman"/>
              </w:rPr>
              <w:t xml:space="preserve">  (open April-November only)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35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Unlimited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F525BE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92.57</w:t>
            </w:r>
            <w:r w:rsidR="00856C01">
              <w:rPr>
                <w:rFonts w:ascii="Arial Narrow" w:hAnsi="Arial Narrow" w:cs="Times New Roman"/>
              </w:rPr>
              <w:t>%</w:t>
            </w:r>
          </w:p>
        </w:tc>
      </w:tr>
      <w:tr w:rsidR="00765411" w:rsidRPr="00672666" w:rsidTr="008F79D2">
        <w:trPr>
          <w:trHeight w:val="328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Kelowna’s Gospel Mission- Shelter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94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82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21 days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96780D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*Organization contacted, data not available</w:t>
            </w:r>
          </w:p>
        </w:tc>
      </w:tr>
      <w:tr w:rsidR="00765411" w:rsidRPr="00672666" w:rsidTr="008F79D2">
        <w:trPr>
          <w:trHeight w:val="328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New Opportunities  for Women Canada – Alexandra Gardner Shelter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30 days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8B392E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108.4%</w:t>
            </w:r>
          </w:p>
        </w:tc>
      </w:tr>
      <w:tr w:rsidR="00765411" w:rsidRPr="00672666" w:rsidTr="008F79D2">
        <w:trPr>
          <w:trHeight w:val="311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 xml:space="preserve">Okanagan Boys and Girls Clubs – Richter St. 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845FF3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45.5</w:t>
            </w:r>
            <w:r w:rsidR="00856C01" w:rsidRPr="0096780D">
              <w:rPr>
                <w:rFonts w:ascii="Arial Narrow" w:hAnsi="Arial Narrow" w:cs="Times New Roman"/>
              </w:rPr>
              <w:t>%</w:t>
            </w:r>
          </w:p>
        </w:tc>
      </w:tr>
      <w:tr w:rsidR="003E10A0" w:rsidRPr="00672666" w:rsidTr="008F79D2">
        <w:trPr>
          <w:trHeight w:val="215"/>
        </w:trPr>
        <w:tc>
          <w:tcPr>
            <w:tcW w:w="6570" w:type="dxa"/>
            <w:shd w:val="clear" w:color="auto" w:fill="auto"/>
          </w:tcPr>
          <w:p w:rsidR="003E10A0" w:rsidRPr="0084687F" w:rsidRDefault="003E10A0" w:rsidP="003E10A0">
            <w:pPr>
              <w:jc w:val="right"/>
              <w:rPr>
                <w:rFonts w:ascii="Arial Narrow" w:hAnsi="Arial Narrow" w:cs="Times New Roman"/>
                <w:b/>
              </w:rPr>
            </w:pPr>
            <w:r w:rsidRPr="0084687F">
              <w:rPr>
                <w:rFonts w:ascii="Arial Narrow" w:hAnsi="Arial Narrow" w:cs="Times New Roman"/>
                <w:b/>
              </w:rPr>
              <w:t xml:space="preserve">TOTAL SHELTER BEDS </w:t>
            </w:r>
          </w:p>
        </w:tc>
        <w:tc>
          <w:tcPr>
            <w:tcW w:w="1530" w:type="dxa"/>
            <w:shd w:val="clear" w:color="auto" w:fill="auto"/>
          </w:tcPr>
          <w:p w:rsidR="003E10A0" w:rsidRPr="0084687F" w:rsidRDefault="0084687F" w:rsidP="00765411">
            <w:pPr>
              <w:rPr>
                <w:rFonts w:ascii="Arial Narrow" w:hAnsi="Arial Narrow" w:cs="Times New Roman"/>
                <w:b/>
              </w:rPr>
            </w:pPr>
            <w:r w:rsidRPr="0084687F">
              <w:rPr>
                <w:rFonts w:ascii="Arial Narrow" w:hAnsi="Arial Narrow" w:cs="Times New Roman"/>
                <w:b/>
              </w:rPr>
              <w:t>159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E10A0" w:rsidRPr="0096780D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3E10A0" w:rsidRPr="0096780D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3E10A0" w:rsidRPr="0096780D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3E10A0" w:rsidRPr="0096780D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4680" w:type="dxa"/>
            <w:shd w:val="clear" w:color="auto" w:fill="BFBFBF" w:themeFill="background1" w:themeFillShade="BF"/>
          </w:tcPr>
          <w:p w:rsidR="003E10A0" w:rsidRPr="0096780D" w:rsidRDefault="003E10A0" w:rsidP="00856C0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65411" w:rsidRPr="00672666" w:rsidTr="008F79D2">
        <w:trPr>
          <w:trHeight w:val="260"/>
        </w:trPr>
        <w:tc>
          <w:tcPr>
            <w:tcW w:w="6570" w:type="dxa"/>
            <w:shd w:val="clear" w:color="auto" w:fill="BFBFBF" w:themeFill="background1" w:themeFillShade="BF"/>
          </w:tcPr>
          <w:p w:rsidR="00765411" w:rsidRPr="0096780D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96780D">
              <w:rPr>
                <w:rFonts w:ascii="Arial Narrow" w:hAnsi="Arial Narrow" w:cs="Times New Roman"/>
                <w:b/>
              </w:rPr>
              <w:t>SOCIAL/CONGREGATE HOUSING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3E10A0" w:rsidRDefault="00765411" w:rsidP="0076541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4680" w:type="dxa"/>
            <w:shd w:val="clear" w:color="auto" w:fill="BFBFBF" w:themeFill="background1" w:themeFillShade="BF"/>
          </w:tcPr>
          <w:p w:rsidR="00765411" w:rsidRPr="0096780D" w:rsidRDefault="00765411" w:rsidP="00856C0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65411" w:rsidRPr="00672666" w:rsidTr="008F79D2">
        <w:trPr>
          <w:trHeight w:val="296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Canadian Mental Health Association - Willowbridge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632651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95%</w:t>
            </w:r>
          </w:p>
        </w:tc>
      </w:tr>
      <w:tr w:rsidR="00765411" w:rsidRPr="00672666" w:rsidTr="008F79D2">
        <w:trPr>
          <w:trHeight w:val="25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Freedom’s Door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90 days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8F0DC0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100%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Inn From the Cold-Chandler House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F525BE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100%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John Howard Society – Cardington Apartments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2 years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FC3F05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100%</w:t>
            </w:r>
            <w:r w:rsidR="008135C9" w:rsidRPr="0096780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John Howard Society – New Gate Apartments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49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Unlimited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8135C9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 xml:space="preserve">100% 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John Howard Society – 1033 Harvey House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Unlimited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8135C9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 xml:space="preserve">100% 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John Howard Society – 1043 Harvey House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 year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8135C9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 xml:space="preserve">100% 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Karis Support Society-Rowcliffe-2</w:t>
            </w:r>
            <w:r w:rsidRPr="0096780D">
              <w:rPr>
                <w:rFonts w:ascii="Arial Narrow" w:hAnsi="Arial Narrow" w:cs="Times New Roman"/>
                <w:vertAlign w:val="superscript"/>
              </w:rPr>
              <w:t>nd</w:t>
            </w:r>
            <w:r w:rsidRPr="0096780D">
              <w:rPr>
                <w:rFonts w:ascii="Arial Narrow" w:hAnsi="Arial Narrow" w:cs="Times New Roman"/>
              </w:rPr>
              <w:t xml:space="preserve"> floor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 year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96780D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*Organization contacted, data not available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Karis Support Society-Rowcliffe-3</w:t>
            </w:r>
            <w:r w:rsidRPr="0096780D">
              <w:rPr>
                <w:rFonts w:ascii="Arial Narrow" w:hAnsi="Arial Narrow" w:cs="Times New Roman"/>
                <w:vertAlign w:val="superscript"/>
              </w:rPr>
              <w:t>rd</w:t>
            </w:r>
            <w:r w:rsidRPr="0096780D">
              <w:rPr>
                <w:rFonts w:ascii="Arial Narrow" w:hAnsi="Arial Narrow" w:cs="Times New Roman"/>
              </w:rPr>
              <w:t xml:space="preserve"> floor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96780D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*Organization contacted, data not available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96780D" w:rsidRDefault="00765411" w:rsidP="00E1708E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Kelowna’s Gospel Mission – Harmony House</w:t>
            </w: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96780D" w:rsidRDefault="00765411" w:rsidP="00765411">
            <w:pPr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Unlimited</w:t>
            </w:r>
          </w:p>
        </w:tc>
        <w:tc>
          <w:tcPr>
            <w:tcW w:w="4680" w:type="dxa"/>
            <w:shd w:val="clear" w:color="auto" w:fill="auto"/>
          </w:tcPr>
          <w:p w:rsidR="00765411" w:rsidRPr="0096780D" w:rsidRDefault="00A10482" w:rsidP="00856C01">
            <w:pPr>
              <w:jc w:val="both"/>
              <w:rPr>
                <w:rFonts w:ascii="Arial Narrow" w:hAnsi="Arial Narrow" w:cs="Times New Roman"/>
              </w:rPr>
            </w:pPr>
            <w:r w:rsidRPr="0096780D">
              <w:rPr>
                <w:rFonts w:ascii="Arial Narrow" w:hAnsi="Arial Narrow" w:cs="Times New Roman"/>
              </w:rPr>
              <w:t>*</w:t>
            </w:r>
            <w:r w:rsidR="0096780D">
              <w:rPr>
                <w:rFonts w:ascii="Arial Narrow" w:hAnsi="Arial Narrow" w:cs="Times New Roman"/>
              </w:rPr>
              <w:t>Organization contacted, data not available</w:t>
            </w:r>
          </w:p>
        </w:tc>
      </w:tr>
      <w:tr w:rsidR="00765411" w:rsidRPr="00672666" w:rsidTr="008F79D2">
        <w:trPr>
          <w:trHeight w:val="282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New Opportunities for Women Canada- Tutt Street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57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8135C9" w:rsidP="00856C01">
            <w:pPr>
              <w:jc w:val="both"/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 xml:space="preserve">100% </w:t>
            </w:r>
          </w:p>
        </w:tc>
      </w:tr>
      <w:tr w:rsidR="00765411" w:rsidRPr="00672666" w:rsidTr="008F79D2">
        <w:trPr>
          <w:trHeight w:val="311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New Opportunities for Women Canada – NOW Place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8135C9" w:rsidP="00856C01">
            <w:pPr>
              <w:jc w:val="both"/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 xml:space="preserve">100% </w:t>
            </w:r>
          </w:p>
        </w:tc>
      </w:tr>
      <w:tr w:rsidR="00765411" w:rsidRPr="00672666" w:rsidTr="008F79D2">
        <w:trPr>
          <w:trHeight w:val="311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New Opportunities for Women Canada – Essentials Safe Housing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4 months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8135C9" w:rsidP="00856C01">
            <w:pPr>
              <w:jc w:val="both"/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 xml:space="preserve">100% </w:t>
            </w:r>
          </w:p>
        </w:tc>
      </w:tr>
      <w:tr w:rsidR="00765411" w:rsidRPr="00672666" w:rsidTr="008F79D2">
        <w:trPr>
          <w:trHeight w:val="311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Okanagan Boys and Girls Clubs-Penny Lane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3 months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F525BE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70.9%</w:t>
            </w:r>
          </w:p>
        </w:tc>
      </w:tr>
      <w:tr w:rsidR="00765411" w:rsidRPr="00672666" w:rsidTr="008F79D2">
        <w:trPr>
          <w:trHeight w:val="311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Okanagan Boys and Girls Clubs-Gateway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954EE0" w:rsidP="0076541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6 months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845FF3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70.9%</w:t>
            </w:r>
          </w:p>
        </w:tc>
      </w:tr>
      <w:tr w:rsidR="00765411" w:rsidRPr="00672666" w:rsidTr="008F79D2">
        <w:trPr>
          <w:trHeight w:val="311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Society of St. Vincent de Paul – Ozanam House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2 years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96780D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*Organization contacted, data not available</w:t>
            </w:r>
          </w:p>
        </w:tc>
      </w:tr>
      <w:tr w:rsidR="003E10A0" w:rsidRPr="00672666" w:rsidTr="008F79D2">
        <w:trPr>
          <w:trHeight w:val="233"/>
        </w:trPr>
        <w:tc>
          <w:tcPr>
            <w:tcW w:w="6570" w:type="dxa"/>
            <w:shd w:val="clear" w:color="auto" w:fill="auto"/>
          </w:tcPr>
          <w:p w:rsidR="003E10A0" w:rsidRPr="0084687F" w:rsidRDefault="0084687F" w:rsidP="0084687F">
            <w:pPr>
              <w:jc w:val="right"/>
              <w:rPr>
                <w:rFonts w:ascii="Arial Narrow" w:hAnsi="Arial Narrow" w:cs="Times New Roman"/>
                <w:b/>
              </w:rPr>
            </w:pPr>
            <w:r w:rsidRPr="0084687F">
              <w:rPr>
                <w:rFonts w:ascii="Arial Narrow" w:hAnsi="Arial Narrow" w:cs="Times New Roman"/>
                <w:b/>
              </w:rPr>
              <w:t>TOTAL BEDS</w:t>
            </w:r>
          </w:p>
        </w:tc>
        <w:tc>
          <w:tcPr>
            <w:tcW w:w="1530" w:type="dxa"/>
            <w:shd w:val="clear" w:color="auto" w:fill="auto"/>
          </w:tcPr>
          <w:p w:rsidR="003E10A0" w:rsidRPr="0084687F" w:rsidRDefault="0084687F" w:rsidP="00765411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360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4680" w:type="dxa"/>
            <w:shd w:val="clear" w:color="auto" w:fill="BFBFBF" w:themeFill="background1" w:themeFillShade="BF"/>
          </w:tcPr>
          <w:p w:rsidR="003E10A0" w:rsidRDefault="003E10A0" w:rsidP="00856C01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765411" w:rsidRPr="00672666" w:rsidTr="008F79D2">
        <w:trPr>
          <w:trHeight w:val="305"/>
        </w:trPr>
        <w:tc>
          <w:tcPr>
            <w:tcW w:w="6570" w:type="dxa"/>
            <w:shd w:val="clear" w:color="auto" w:fill="BFBFBF" w:themeFill="background1" w:themeFillShade="BF"/>
          </w:tcPr>
          <w:p w:rsidR="00765411" w:rsidRPr="00672666" w:rsidRDefault="00765411" w:rsidP="00E1708E">
            <w:pPr>
              <w:jc w:val="center"/>
              <w:rPr>
                <w:rFonts w:ascii="Arial Narrow" w:hAnsi="Arial Narrow" w:cs="Times New Roman"/>
                <w:b/>
              </w:rPr>
            </w:pPr>
            <w:r w:rsidRPr="00672666">
              <w:rPr>
                <w:rFonts w:ascii="Arial Narrow" w:hAnsi="Arial Narrow" w:cs="Times New Roman"/>
                <w:b/>
              </w:rPr>
              <w:t xml:space="preserve">SCATTERED-SITE UNITS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672666" w:rsidRDefault="00765411" w:rsidP="0076541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65411" w:rsidRPr="00672666" w:rsidRDefault="00765411" w:rsidP="0076541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672666" w:rsidRDefault="00765411" w:rsidP="0076541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765411" w:rsidRPr="00672666" w:rsidRDefault="00765411" w:rsidP="0076541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765411" w:rsidRPr="00672666" w:rsidRDefault="00765411" w:rsidP="00765411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80" w:type="dxa"/>
            <w:shd w:val="clear" w:color="auto" w:fill="BFBFBF" w:themeFill="background1" w:themeFillShade="BF"/>
          </w:tcPr>
          <w:p w:rsidR="00765411" w:rsidRPr="00672666" w:rsidRDefault="00765411" w:rsidP="00856C0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65411" w:rsidRPr="00672666" w:rsidTr="008F79D2">
        <w:trPr>
          <w:trHeight w:val="278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Okanagan Boys and Girls Clubs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954EE0" w:rsidP="0076541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845FF3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70.9%</w:t>
            </w:r>
          </w:p>
        </w:tc>
      </w:tr>
      <w:tr w:rsidR="00765411" w:rsidRPr="00672666" w:rsidTr="008F79D2">
        <w:trPr>
          <w:trHeight w:val="296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 xml:space="preserve">Canadian Mental Health Association 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632651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100%</w:t>
            </w:r>
          </w:p>
        </w:tc>
      </w:tr>
      <w:tr w:rsidR="00765411" w:rsidRPr="00672666" w:rsidTr="008F79D2">
        <w:trPr>
          <w:trHeight w:val="169"/>
        </w:trPr>
        <w:tc>
          <w:tcPr>
            <w:tcW w:w="6570" w:type="dxa"/>
            <w:shd w:val="clear" w:color="auto" w:fill="auto"/>
          </w:tcPr>
          <w:p w:rsidR="00765411" w:rsidRPr="00672666" w:rsidRDefault="00765411" w:rsidP="00E1708E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Canadian Mental Health Association-Connected by 25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856C01" w:rsidP="00765411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632651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100%</w:t>
            </w:r>
          </w:p>
        </w:tc>
      </w:tr>
      <w:tr w:rsidR="00765411" w:rsidRPr="00672666" w:rsidTr="008F79D2">
        <w:trPr>
          <w:trHeight w:val="145"/>
        </w:trPr>
        <w:tc>
          <w:tcPr>
            <w:tcW w:w="6570" w:type="dxa"/>
            <w:shd w:val="clear" w:color="auto" w:fill="auto"/>
          </w:tcPr>
          <w:p w:rsidR="00765411" w:rsidRPr="00672666" w:rsidRDefault="00E54854" w:rsidP="00E54854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Partners In Resources Inc. (Piers)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Varies</w:t>
            </w:r>
          </w:p>
        </w:tc>
        <w:tc>
          <w:tcPr>
            <w:tcW w:w="162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765411" w:rsidRPr="00672666" w:rsidRDefault="00765411" w:rsidP="00765411">
            <w:pPr>
              <w:rPr>
                <w:rFonts w:ascii="Arial Narrow" w:hAnsi="Arial Narrow" w:cs="Times New Roman"/>
              </w:rPr>
            </w:pPr>
            <w:r w:rsidRPr="00672666">
              <w:rPr>
                <w:rFonts w:ascii="Arial Narrow" w:hAnsi="Arial Narrow" w:cs="Times New Roman"/>
              </w:rPr>
              <w:t>Individual</w:t>
            </w:r>
          </w:p>
        </w:tc>
        <w:tc>
          <w:tcPr>
            <w:tcW w:w="4680" w:type="dxa"/>
            <w:shd w:val="clear" w:color="auto" w:fill="auto"/>
          </w:tcPr>
          <w:p w:rsidR="00765411" w:rsidRPr="00672666" w:rsidRDefault="00856C01" w:rsidP="00856C01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78-98%</w:t>
            </w:r>
          </w:p>
        </w:tc>
      </w:tr>
      <w:tr w:rsidR="003E10A0" w:rsidRPr="00672666" w:rsidTr="008F79D2">
        <w:trPr>
          <w:trHeight w:val="145"/>
        </w:trPr>
        <w:tc>
          <w:tcPr>
            <w:tcW w:w="6570" w:type="dxa"/>
            <w:shd w:val="clear" w:color="auto" w:fill="auto"/>
          </w:tcPr>
          <w:p w:rsidR="003E10A0" w:rsidRPr="0084687F" w:rsidRDefault="0084687F" w:rsidP="0084687F">
            <w:pPr>
              <w:jc w:val="right"/>
              <w:rPr>
                <w:rFonts w:ascii="Arial Narrow" w:hAnsi="Arial Narrow" w:cs="Times New Roman"/>
                <w:b/>
              </w:rPr>
            </w:pPr>
            <w:r w:rsidRPr="0084687F">
              <w:rPr>
                <w:rFonts w:ascii="Arial Narrow" w:hAnsi="Arial Narrow" w:cs="Times New Roman"/>
                <w:b/>
              </w:rPr>
              <w:t>TOTAL BEDS</w:t>
            </w:r>
          </w:p>
        </w:tc>
        <w:tc>
          <w:tcPr>
            <w:tcW w:w="1530" w:type="dxa"/>
            <w:shd w:val="clear" w:color="auto" w:fill="auto"/>
          </w:tcPr>
          <w:p w:rsidR="003E10A0" w:rsidRPr="0084687F" w:rsidRDefault="0084687F" w:rsidP="0084687F">
            <w:pPr>
              <w:rPr>
                <w:rFonts w:ascii="Arial Narrow" w:hAnsi="Arial Narrow" w:cs="Times New Roman"/>
                <w:b/>
              </w:rPr>
            </w:pPr>
            <w:r w:rsidRPr="0084687F">
              <w:rPr>
                <w:rFonts w:ascii="Arial Narrow" w:hAnsi="Arial Narrow" w:cs="Times New Roman"/>
                <w:b/>
              </w:rPr>
              <w:t>44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3E10A0" w:rsidRPr="00672666" w:rsidRDefault="003E10A0" w:rsidP="00765411">
            <w:pPr>
              <w:rPr>
                <w:rFonts w:ascii="Arial Narrow" w:hAnsi="Arial Narrow" w:cs="Times New Roman"/>
              </w:rPr>
            </w:pPr>
          </w:p>
        </w:tc>
        <w:tc>
          <w:tcPr>
            <w:tcW w:w="4680" w:type="dxa"/>
            <w:shd w:val="clear" w:color="auto" w:fill="BFBFBF" w:themeFill="background1" w:themeFillShade="BF"/>
          </w:tcPr>
          <w:p w:rsidR="003E10A0" w:rsidRDefault="003E10A0" w:rsidP="00856C0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F79D2" w:rsidRDefault="008F79D2" w:rsidP="00ED4287">
      <w:pPr>
        <w:spacing w:after="0" w:line="240" w:lineRule="auto"/>
        <w:rPr>
          <w:rFonts w:ascii="Arial Narrow" w:hAnsi="Arial Narrow" w:cs="Times New Roman"/>
          <w:b/>
        </w:rPr>
      </w:pPr>
    </w:p>
    <w:p w:rsidR="00C7175B" w:rsidRPr="00672666" w:rsidRDefault="00C7175B" w:rsidP="00ED4287">
      <w:pPr>
        <w:spacing w:after="0" w:line="240" w:lineRule="auto"/>
        <w:rPr>
          <w:rFonts w:ascii="Arial Narrow" w:hAnsi="Arial Narrow" w:cs="Times New Roman"/>
          <w:b/>
        </w:rPr>
      </w:pPr>
      <w:r w:rsidRPr="00672666">
        <w:rPr>
          <w:rFonts w:ascii="Arial Narrow" w:hAnsi="Arial Narrow" w:cs="Times New Roman"/>
          <w:b/>
        </w:rPr>
        <w:t>The Housing and Shelter Snapshot is intended to inform the community of</w:t>
      </w:r>
      <w:r w:rsidR="0072002F" w:rsidRPr="00672666">
        <w:rPr>
          <w:rFonts w:ascii="Arial Narrow" w:hAnsi="Arial Narrow" w:cs="Times New Roman"/>
          <w:b/>
        </w:rPr>
        <w:t xml:space="preserve"> the number of beds accessible in the city of Kelowna. The Housing and Shelter Snapshot does not</w:t>
      </w:r>
      <w:r w:rsidRPr="00672666">
        <w:rPr>
          <w:rFonts w:ascii="Arial Narrow" w:hAnsi="Arial Narrow" w:cs="Times New Roman"/>
          <w:b/>
        </w:rPr>
        <w:t xml:space="preserve"> include additional support services available for individuals experiencing homelessness (for example: outreach services, housing retention services, mental health</w:t>
      </w:r>
      <w:r w:rsidR="0072002F" w:rsidRPr="00672666">
        <w:rPr>
          <w:rFonts w:ascii="Arial Narrow" w:hAnsi="Arial Narrow" w:cs="Times New Roman"/>
          <w:b/>
        </w:rPr>
        <w:t xml:space="preserve"> support, </w:t>
      </w:r>
      <w:proofErr w:type="gramStart"/>
      <w:r w:rsidR="0072002F" w:rsidRPr="00672666">
        <w:rPr>
          <w:rFonts w:ascii="Arial Narrow" w:hAnsi="Arial Narrow" w:cs="Times New Roman"/>
          <w:b/>
        </w:rPr>
        <w:t>addiction</w:t>
      </w:r>
      <w:proofErr w:type="gramEnd"/>
      <w:r w:rsidR="0072002F" w:rsidRPr="00672666">
        <w:rPr>
          <w:rFonts w:ascii="Arial Narrow" w:hAnsi="Arial Narrow" w:cs="Times New Roman"/>
          <w:b/>
        </w:rPr>
        <w:t xml:space="preserve"> recovery </w:t>
      </w:r>
      <w:r w:rsidRPr="00672666">
        <w:rPr>
          <w:rFonts w:ascii="Arial Narrow" w:hAnsi="Arial Narrow" w:cs="Times New Roman"/>
          <w:b/>
        </w:rPr>
        <w:t>support or life skills development).</w:t>
      </w:r>
      <w:r w:rsidR="0072002F" w:rsidRPr="00672666">
        <w:rPr>
          <w:rFonts w:ascii="Arial Narrow" w:hAnsi="Arial Narrow" w:cs="Times New Roman"/>
          <w:b/>
        </w:rPr>
        <w:t xml:space="preserve"> </w:t>
      </w:r>
    </w:p>
    <w:sectPr w:rsidR="00C7175B" w:rsidRPr="00672666" w:rsidSect="00F0722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26"/>
    <w:rsid w:val="00031632"/>
    <w:rsid w:val="00042AC2"/>
    <w:rsid w:val="0008424F"/>
    <w:rsid w:val="000E65B6"/>
    <w:rsid w:val="00103DEB"/>
    <w:rsid w:val="00105A32"/>
    <w:rsid w:val="00130807"/>
    <w:rsid w:val="00131198"/>
    <w:rsid w:val="00177BF3"/>
    <w:rsid w:val="001A7BE6"/>
    <w:rsid w:val="00204E76"/>
    <w:rsid w:val="0027098A"/>
    <w:rsid w:val="002C1321"/>
    <w:rsid w:val="00301B38"/>
    <w:rsid w:val="003A5673"/>
    <w:rsid w:val="003E10A0"/>
    <w:rsid w:val="0049122D"/>
    <w:rsid w:val="004F2D7F"/>
    <w:rsid w:val="0056213E"/>
    <w:rsid w:val="005673FE"/>
    <w:rsid w:val="0058598D"/>
    <w:rsid w:val="005C5BC9"/>
    <w:rsid w:val="005C6688"/>
    <w:rsid w:val="00611426"/>
    <w:rsid w:val="00632651"/>
    <w:rsid w:val="006473A9"/>
    <w:rsid w:val="00660A60"/>
    <w:rsid w:val="00672666"/>
    <w:rsid w:val="00687BAE"/>
    <w:rsid w:val="00694886"/>
    <w:rsid w:val="006F3721"/>
    <w:rsid w:val="007016D4"/>
    <w:rsid w:val="007176BF"/>
    <w:rsid w:val="00717C19"/>
    <w:rsid w:val="0072002F"/>
    <w:rsid w:val="00765411"/>
    <w:rsid w:val="00786039"/>
    <w:rsid w:val="008135C9"/>
    <w:rsid w:val="008342A8"/>
    <w:rsid w:val="00845FF3"/>
    <w:rsid w:val="0084687F"/>
    <w:rsid w:val="008469AE"/>
    <w:rsid w:val="00856C01"/>
    <w:rsid w:val="008B270E"/>
    <w:rsid w:val="008B392E"/>
    <w:rsid w:val="008B6A66"/>
    <w:rsid w:val="008F0DC0"/>
    <w:rsid w:val="008F79D2"/>
    <w:rsid w:val="00954EE0"/>
    <w:rsid w:val="009559F6"/>
    <w:rsid w:val="00961B0D"/>
    <w:rsid w:val="0096780D"/>
    <w:rsid w:val="009C2085"/>
    <w:rsid w:val="00A07DB1"/>
    <w:rsid w:val="00A10482"/>
    <w:rsid w:val="00A311C5"/>
    <w:rsid w:val="00A40678"/>
    <w:rsid w:val="00AA61E7"/>
    <w:rsid w:val="00AF561E"/>
    <w:rsid w:val="00B170AA"/>
    <w:rsid w:val="00BA63A4"/>
    <w:rsid w:val="00BE4F64"/>
    <w:rsid w:val="00C365AA"/>
    <w:rsid w:val="00C7175B"/>
    <w:rsid w:val="00C72F26"/>
    <w:rsid w:val="00CA2E1C"/>
    <w:rsid w:val="00CC218F"/>
    <w:rsid w:val="00CD30ED"/>
    <w:rsid w:val="00CF3437"/>
    <w:rsid w:val="00D27F16"/>
    <w:rsid w:val="00D41529"/>
    <w:rsid w:val="00D57BF5"/>
    <w:rsid w:val="00D87261"/>
    <w:rsid w:val="00D90B5C"/>
    <w:rsid w:val="00DE6838"/>
    <w:rsid w:val="00E1708E"/>
    <w:rsid w:val="00E54854"/>
    <w:rsid w:val="00EA64DF"/>
    <w:rsid w:val="00EB5687"/>
    <w:rsid w:val="00EC62D3"/>
    <w:rsid w:val="00ED4287"/>
    <w:rsid w:val="00ED4FA7"/>
    <w:rsid w:val="00F07224"/>
    <w:rsid w:val="00F525BE"/>
    <w:rsid w:val="00F8530A"/>
    <w:rsid w:val="00FC3F05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DAD5-0EB3-452F-93A0-CDEA5009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Maribeth Friesen</dc:creator>
  <cp:lastModifiedBy>User</cp:lastModifiedBy>
  <cp:revision>2</cp:revision>
  <cp:lastPrinted>2015-11-24T17:34:00Z</cp:lastPrinted>
  <dcterms:created xsi:type="dcterms:W3CDTF">2016-04-26T16:33:00Z</dcterms:created>
  <dcterms:modified xsi:type="dcterms:W3CDTF">2016-04-26T16:33:00Z</dcterms:modified>
</cp:coreProperties>
</file>